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42" w:rsidRPr="00452642" w:rsidRDefault="00452642" w:rsidP="00452642">
      <w:pPr>
        <w:spacing w:after="0" w:line="525" w:lineRule="atLeast"/>
        <w:outlineLvl w:val="0"/>
        <w:rPr>
          <w:rFonts w:ascii="Helvetica" w:eastAsia="Times New Roman" w:hAnsi="Helvetica" w:cs="Times New Roman"/>
          <w:b/>
          <w:bCs/>
          <w:color w:val="666666"/>
          <w:kern w:val="36"/>
          <w:sz w:val="38"/>
          <w:szCs w:val="38"/>
          <w:lang w:eastAsia="de-DE"/>
        </w:rPr>
      </w:pPr>
      <w:bookmarkStart w:id="0" w:name="_GoBack"/>
      <w:r w:rsidRPr="00452642">
        <w:rPr>
          <w:rFonts w:ascii="Helvetica" w:eastAsia="Times New Roman" w:hAnsi="Helvetica" w:cs="Times New Roman"/>
          <w:b/>
          <w:bCs/>
          <w:color w:val="666666"/>
          <w:kern w:val="36"/>
          <w:sz w:val="38"/>
          <w:szCs w:val="38"/>
          <w:lang w:eastAsia="de-DE"/>
        </w:rPr>
        <w:t>Identität und Individualität in der Quantenmechanik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5" w:tooltip="Ontologie" w:history="1">
        <w:r w:rsidRPr="00452642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Ontologie</w:t>
        </w:r>
      </w:hyperlink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fragt nach der numerischen Gleichheit und Verschiedenheit (</w:t>
      </w:r>
      <w:hyperlink r:id="rId6" w:tgtFrame="_blank" w:tooltip="https://de.wikipedia.org/wiki/Individuation" w:history="1">
        <w:r w:rsidRPr="00452642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>Individuation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)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abtrakter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oder empirischer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7" w:tooltip="Entität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Entitäten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Nicht wenige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8" w:tooltip="Philosophie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Philosophen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koppeln die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9" w:tooltip="Möglichkeit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Möglichkeit</w:t>
        </w:r>
      </w:hyperlink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einer Ontologie sogar vollständig an die Frage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der</w:t>
      </w:r>
      <w:hyperlink r:id="rId10" w:tooltip="Identität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Identität</w:t>
        </w:r>
        <w:proofErr w:type="spellEnd"/>
      </w:hyperlink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bzw. daran, ob sich Entitäten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individuieren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lassen.</w:t>
      </w:r>
    </w:p>
    <w:p w:rsidR="00452642" w:rsidRPr="00452642" w:rsidRDefault="00452642" w:rsidP="00452642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"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No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entity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without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identity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."</w:t>
      </w:r>
      <w:r w:rsidRPr="00452642">
        <w:rPr>
          <w:rFonts w:ascii="Times New Roman" w:eastAsia="Times New Roman" w:hAnsi="Times New Roman" w:cs="Times New Roman"/>
          <w:color w:val="666666"/>
          <w:sz w:val="24"/>
          <w:szCs w:val="24"/>
          <w:lang w:eastAsia="de-DE"/>
        </w:rPr>
        <w:br/>
      </w:r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 </w:t>
      </w:r>
      <w:hyperlink r:id="rId11" w:tooltip="Willard Van Orman Quine" w:history="1">
        <w:r w:rsidRPr="00452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Willard Van </w:t>
        </w:r>
        <w:proofErr w:type="spellStart"/>
        <w:r w:rsidRPr="00452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Orman</w:t>
        </w:r>
        <w:proofErr w:type="spellEnd"/>
        <w:r w:rsidRPr="00452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4526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Quine</w:t>
        </w:r>
        <w:proofErr w:type="spellEnd"/>
      </w:hyperlink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 Theorien und Dinge, S. 130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Gleichartige Quantenobjekte lassen sich in vielen Fällen nicht </w:t>
      </w:r>
      <w:proofErr w:type="spellStart"/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individuieren</w:t>
      </w:r>
      <w:proofErr w:type="spellEnd"/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. Sie besitzen dann zwar eine </w:t>
      </w:r>
      <w:proofErr w:type="spellStart"/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Kardinalität</w:t>
      </w:r>
      <w:proofErr w:type="spellEnd"/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(Anzahl), aber keine </w:t>
      </w:r>
      <w:proofErr w:type="spellStart"/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Ordinalität</w:t>
      </w:r>
      <w:proofErr w:type="spellEnd"/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(Individualität)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. Der mathematische Formalismus erlaubt in diesen Fällen zwar eine Angabe der Anzahl, aber keine Unterscheidung  der Quantenobjekten in einem System.[1] Wissenschaftstheoretiker haben versucht, dies in ein didaktisches Bild zu packen: Die Geldmenge in meinem Geldbeutel ist durch die einzelnen Münzen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leibniz-individuiert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derselbe Geldbetrag auf meinem Konto ist es nicht.[2]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 vielen Lehrbüchern ist deshalb auch von "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identischen Teilchen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" die Rede, was aber aus zwei Gründen problematisch ist: 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(1)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Der Ausdruck "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identisch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" ist hier sicher zunächst naheliegend, denn in der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12" w:tooltip="Logik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Logik</w:t>
        </w:r>
      </w:hyperlink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sind ein Objekt A und ein Objekt B genau dann </w:t>
      </w:r>
      <w:r w:rsidRPr="0045264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identisch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wenn sie </w:t>
      </w:r>
      <w:r w:rsidRPr="0045264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ununterscheidbar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sind. Genau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dieses</w:t>
      </w:r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Leibniz</w:t>
      </w:r>
      <w:proofErr w:type="spellEnd"/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-Prinzip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scheint in der Quantenmechanik aber verletzt zu sein! Nicht wenige Autoren fordern deshalb sogar eine Revision der Logik oder Mengenlehre[3]. 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(2)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Der Ausdruck "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Teilchen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" setzt bereits eine bestimmte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Quantenontologie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voraus. Auch hier wollen wir uns neutral halten und sprechen deshalb von "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ununterscheidbaren Quantenobjekten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."</w:t>
      </w:r>
    </w:p>
    <w:p w:rsidR="00452642" w:rsidRPr="00452642" w:rsidRDefault="00452642" w:rsidP="00452642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"Identity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utterly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simple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and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unproblematic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Everything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identical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to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itself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;</w:t>
      </w:r>
    </w:p>
    <w:p w:rsidR="00452642" w:rsidRPr="00452642" w:rsidRDefault="00452642" w:rsidP="00452642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nothing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ever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identical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to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anything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else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except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itself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;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nothing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can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ever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fail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to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452642" w:rsidRPr="00452642" w:rsidRDefault="00452642" w:rsidP="00452642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And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there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never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any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problem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about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what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makes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two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things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identical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;</w:t>
      </w:r>
    </w:p>
    <w:p w:rsidR="00452642" w:rsidRPr="00452642" w:rsidRDefault="00452642" w:rsidP="00452642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two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things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never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can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identical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."</w:t>
      </w:r>
    </w:p>
    <w:p w:rsidR="00452642" w:rsidRPr="00452642" w:rsidRDefault="00452642" w:rsidP="00452642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- David Lewis: On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the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Plurality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of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Worlds</w:t>
      </w:r>
      <w:proofErr w:type="spellEnd"/>
      <w:r w:rsidRPr="0045264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S. 192-193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Es bieten sich drei Arten der Individuation quantenmechanischer Objekte an:</w:t>
      </w:r>
    </w:p>
    <w:p w:rsidR="00452642" w:rsidRPr="00452642" w:rsidRDefault="00452642" w:rsidP="00452642">
      <w:pPr>
        <w:spacing w:after="0" w:line="270" w:lineRule="atLeast"/>
        <w:ind w:left="708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(1)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Eigenschaften.</w:t>
      </w:r>
    </w:p>
    <w:p w:rsidR="00452642" w:rsidRPr="00452642" w:rsidRDefault="00452642" w:rsidP="00452642">
      <w:pPr>
        <w:spacing w:after="0" w:line="270" w:lineRule="atLeast"/>
        <w:ind w:left="708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(2)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raumzeitliche Lokalisation.</w:t>
      </w:r>
    </w:p>
    <w:p w:rsidR="00452642" w:rsidRPr="00452642" w:rsidRDefault="00452642" w:rsidP="00452642">
      <w:pPr>
        <w:spacing w:after="0" w:line="270" w:lineRule="atLeast"/>
        <w:ind w:left="708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(3)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irreduzible metaphysische Identität.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(1)</w:t>
      </w:r>
      <w:r w:rsidRPr="00452642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Betrachten wir von nun an immer zwei Elementarobjekte. Diese Wahl hat den Vorteil, dass sie die Schwierigkeiten mit zusammengesetzten Quantenobjekten (wie z.B.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13" w:tooltip="Atom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Atomen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) vermeidet und wir uns auf die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14" w:tooltip="Eigenschaft" w:history="1">
        <w:r w:rsidRPr="00452642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Eigenschaften</w:t>
        </w:r>
      </w:hyperlink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Ruhemasse, Ladung und Spin kaprizieren können. Die Individuation von zwei verschiedenartigen Elementarobjekten, wie etwa einem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proofErr w:type="spellStart"/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begin"/>
      </w:r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instrText xml:space="preserve"> HYPERLINK "https://www.sapereaudepls.de/einzeldisziplinen/teilchenphysik/quarks/" \o "Quarks" </w:instrText>
      </w:r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separate"/>
      </w:r>
      <w:r w:rsidRPr="00452642">
        <w:rPr>
          <w:rFonts w:ascii="Verdana" w:eastAsia="Times New Roman" w:hAnsi="Verdana" w:cs="Arial"/>
          <w:color w:val="0000FF"/>
          <w:sz w:val="20"/>
          <w:szCs w:val="20"/>
          <w:u w:val="single"/>
          <w:lang w:eastAsia="de-DE"/>
        </w:rPr>
        <w:t>up</w:t>
      </w:r>
      <w:proofErr w:type="spellEnd"/>
      <w:r w:rsidRPr="00452642">
        <w:rPr>
          <w:rFonts w:ascii="Verdana" w:eastAsia="Times New Roman" w:hAnsi="Verdana" w:cs="Arial"/>
          <w:color w:val="0000FF"/>
          <w:sz w:val="20"/>
          <w:szCs w:val="20"/>
          <w:u w:val="single"/>
          <w:lang w:eastAsia="de-DE"/>
        </w:rPr>
        <w:t>-Quark</w:t>
      </w:r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end"/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und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einem</w:t>
      </w:r>
      <w:hyperlink r:id="rId15" w:tooltip="Photon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Photon</w:t>
        </w:r>
        <w:proofErr w:type="spellEnd"/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bereitet keine Schwierigkeiten, da sie sich mindestens hinsichtlich einer Elementareigenschaft unterscheiden müssen (siehe: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16" w:tooltip="Standardmodell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Standardmodell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).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(2)</w:t>
      </w:r>
      <w:r w:rsidRPr="00452642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Was aber, wenn a und b </w:t>
      </w:r>
      <w:r w:rsidRPr="0045264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gleichartig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also zum Beispiel beides </w:t>
      </w:r>
      <w:hyperlink r:id="rId17" w:tooltip="Elektron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Elektronen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sind? In diesem Fall können wir versuchen die 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raumzeitliche Lokalisation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als ein Unterscheidungsmerkmal heranzuziehen. Habe a beispielsweise denn Raumzeit-Trajektorie y(a) und b die davon verschiedene Raumzeit-Trajektorie y(b). Dann sind a und b verschieden, da sie sich in verschiedenen Raumzeitstellen aufhalten. Arthur Schopenhauer sprach deshalb im Anschluss an </w:t>
      </w:r>
      <w:hyperlink r:id="rId18" w:tooltip="Immanuel Kant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Immanuel Kant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vom Raum als </w:t>
      </w:r>
      <w:proofErr w:type="spellStart"/>
      <w:r w:rsidRPr="0045264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principium</w:t>
      </w:r>
      <w:proofErr w:type="spellEnd"/>
      <w:r w:rsidRPr="0045264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 xml:space="preserve"> </w:t>
      </w:r>
      <w:proofErr w:type="spellStart"/>
      <w:r w:rsidRPr="0045264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individuationis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(3)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Gleichartige Quantenobjekte können sich aber auch </w:t>
      </w:r>
      <w:r w:rsidRPr="00452642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vollständig durchdringen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so dass sie fortan 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dieselbe Raumzeitstelle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(bei ausgedehnten Objekten: Raumzeitregion) einnehmen.[2] Nicht wenige </w:t>
      </w:r>
      <w:hyperlink r:id="rId19" w:tooltip="Interpretationen der Quantenmechanik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Interpretationen der Quantenmechanik</w:t>
        </w:r>
      </w:hyperlink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wie etwa die </w:t>
      </w:r>
      <w:hyperlink r:id="rId20" w:tooltip="Kopenhagener Interpretation der Quantenmechanik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Kopenhagener Deutung</w:t>
        </w:r>
      </w:hyperlink>
      <w:r w:rsidRPr="00452642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lehnen definitive Raumzeit-Trajektorien für Quantenobjekte deshalb grundsätzlich ab. Nennen wir das an der Stelle oder Region der "Durchdringung" 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lastRenderedPageBreak/>
        <w:t>entstehende Objekt von nun an "X". Welche</w:t>
      </w:r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21" w:tooltip="Rechtfertigung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Rechtfertigung</w:t>
        </w:r>
      </w:hyperlink>
      <w:r w:rsidRPr="00452642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hätten wir, von X zu sagen, dass es sich aus zwei Objekten a und b – und nicht aus einem oder eintausend Objekten - zusammensetzt? Wenn a und b gleichartige Elementarobjekte sind und wenn wir ausschließlich im Sinne von (2)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individuieren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müssten wir strenggenommen argumentieren, dass a und b in dem Moment ihrer vollständigen Durchdringung ihre Identität verlieren und zum Objekt X verschmelzen.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Für gleichartige Quantenobjekte scheint deshalb weder eine Individuation im Sinne von (1) noch im Sinne von (2) möglich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Dies wirft schwerwiegende Fragen auf:</w:t>
      </w:r>
    </w:p>
    <w:p w:rsidR="00452642" w:rsidRPr="00452642" w:rsidRDefault="00452642" w:rsidP="00452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 welchem Sinne können Quantenobjekte (keine) Individuen sein?</w:t>
      </w:r>
    </w:p>
    <w:p w:rsidR="00452642" w:rsidRPr="00452642" w:rsidRDefault="00452642" w:rsidP="00452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Können nur Bosonen keine Individuen sein, da zwei Fermionen gemäß dem </w:t>
      </w:r>
      <w:hyperlink r:id="rId22" w:tgtFrame="_blank" w:tooltip="https://de.wikipedia.org/wiki/Pauli-Prinzip" w:history="1">
        <w:r w:rsidRPr="00452642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>Pauli-Prinzip</w:t>
        </w:r>
      </w:hyperlink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niemals im selben Zustand sein können?</w:t>
      </w:r>
    </w:p>
    <w:p w:rsidR="00452642" w:rsidRPr="00452642" w:rsidRDefault="00452642" w:rsidP="00452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Besteht ein 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Vielteilchensystem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aus vielen Teilchen?</w:t>
      </w:r>
    </w:p>
    <w:p w:rsidR="00452642" w:rsidRPr="00452642" w:rsidRDefault="00452642" w:rsidP="00452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Falls nein, widerlegt das die 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Bündelontologie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, nach der Objekte Bündel von Eigenschaften sind? Welche Rolle spielt hier die 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Tropenontologie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?</w:t>
      </w:r>
    </w:p>
    <w:p w:rsidR="00452642" w:rsidRPr="00452642" w:rsidRDefault="00452642" w:rsidP="00452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Verletzen Quantenobjekte das (starke)</w:t>
      </w: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 Leibniz-Prinzip?</w:t>
      </w:r>
    </w:p>
    <w:p w:rsidR="00452642" w:rsidRPr="00452642" w:rsidRDefault="00452642" w:rsidP="00452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Wie überzeugend ist ein </w:t>
      </w:r>
      <w:proofErr w:type="spellStart"/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Haecceitismus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für eine Individuation im Sinne von (3)?</w:t>
      </w:r>
    </w:p>
    <w:p w:rsidR="00452642" w:rsidRPr="00452642" w:rsidRDefault="00452642" w:rsidP="00452642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  <w:r w:rsidRPr="00452642"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  <w:t>Einzelnachweise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[1]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Holger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Lyre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u.a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Philosophie der Physik, S. 79 - 89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[2]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French und Krause: Identity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and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Individuality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in Modern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Physics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Es bleibt jedoch fraglich, ob man mathematische Verhältnisse auf die Welt abbilden darf und ob diese Analogie das wirkliche Wesen der </w:t>
      </w:r>
      <w:proofErr w:type="spellStart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Kardinalität</w:t>
      </w:r>
      <w:proofErr w:type="spellEnd"/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erfasst.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452642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[3]</w:t>
      </w:r>
      <w:r w:rsidRPr="00452642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ebd.</w:t>
      </w:r>
    </w:p>
    <w:p w:rsidR="00452642" w:rsidRPr="00452642" w:rsidRDefault="00452642" w:rsidP="00452642">
      <w:pPr>
        <w:spacing w:after="0" w:line="525" w:lineRule="atLeast"/>
        <w:outlineLvl w:val="0"/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</w:pPr>
      <w:r w:rsidRPr="00452642">
        <w:rPr>
          <w:rFonts w:ascii="Helvetica" w:eastAsia="Times New Roman" w:hAnsi="Helvetica" w:cs="Arial"/>
          <w:b/>
          <w:bCs/>
          <w:color w:val="666666"/>
          <w:kern w:val="36"/>
          <w:sz w:val="38"/>
          <w:szCs w:val="38"/>
          <w:lang w:eastAsia="de-DE"/>
        </w:rPr>
        <w:t>Siehe auch</w:t>
      </w:r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23" w:tgtFrame="_blank" w:tooltip="https://plato.stanford.edu/entries/qt-idind/" w:history="1">
        <w:r w:rsidRPr="00452642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>Stanford-Enzyklopädie</w:t>
        </w:r>
      </w:hyperlink>
    </w:p>
    <w:p w:rsidR="00452642" w:rsidRPr="00452642" w:rsidRDefault="00452642" w:rsidP="00452642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24" w:tooltip="Quantenlogik" w:history="1">
        <w:r w:rsidRPr="00452642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Quantenlogik</w:t>
        </w:r>
      </w:hyperlink>
    </w:p>
    <w:bookmarkEnd w:id="0"/>
    <w:p w:rsidR="000D65A0" w:rsidRDefault="00452642"/>
    <w:sectPr w:rsidR="000D6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3FC"/>
    <w:multiLevelType w:val="multilevel"/>
    <w:tmpl w:val="59AC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42"/>
    <w:rsid w:val="001B7903"/>
    <w:rsid w:val="00452642"/>
    <w:rsid w:val="00B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E6AA2-7677-44D3-8240-06AE6046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52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264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einLeerraum">
    <w:name w:val="No Spacing"/>
    <w:basedOn w:val="Standard"/>
    <w:uiPriority w:val="1"/>
    <w:qFormat/>
    <w:rsid w:val="0045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5264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5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52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pereaudepls.de/einzeldisziplinen/philosophie/" TargetMode="External"/><Relationship Id="rId13" Type="http://schemas.openxmlformats.org/officeDocument/2006/relationships/hyperlink" Target="https://www.sapereaudepls.de/einzeldisziplinen/teilchenphysik/atom/" TargetMode="External"/><Relationship Id="rId18" Type="http://schemas.openxmlformats.org/officeDocument/2006/relationships/hyperlink" Target="https://www.sapereaudepls.de/blogeintr%C3%A4ge/immanuel-kan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apereaudepls.de/was-kann-ich-wissen/erkenntnistheorie/rechtfertigung-erkenntnistheorie/" TargetMode="External"/><Relationship Id="rId7" Type="http://schemas.openxmlformats.org/officeDocument/2006/relationships/hyperlink" Target="https://www.sapereaudepls.de/was-kann-ich-wissen/metaphysik/entit%C3%A4t/" TargetMode="External"/><Relationship Id="rId12" Type="http://schemas.openxmlformats.org/officeDocument/2006/relationships/hyperlink" Target="https://www.sapereaudepls.de/was-kann-ich-wissen/logik/" TargetMode="External"/><Relationship Id="rId17" Type="http://schemas.openxmlformats.org/officeDocument/2006/relationships/hyperlink" Target="https://www.sapereaudepls.de/einzeldisziplinen/teilchenphysik/elektro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pereaudepls.de/einzeldisziplinen/teilchenphysik/standardmodell-der-teilchenphysik/" TargetMode="External"/><Relationship Id="rId20" Type="http://schemas.openxmlformats.org/officeDocument/2006/relationships/hyperlink" Target="https://www.sapereaudepls.de/einzeldisziplinen/quantenmechanik/kopenhagener-interpretation-der-quantenmechan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Individuation" TargetMode="External"/><Relationship Id="rId11" Type="http://schemas.openxmlformats.org/officeDocument/2006/relationships/hyperlink" Target="https://www.sapereaudepls.de/2019/01/22/willard-van-orman-quine/" TargetMode="External"/><Relationship Id="rId24" Type="http://schemas.openxmlformats.org/officeDocument/2006/relationships/hyperlink" Target="https://www.sapereaudepls.de/was-kann-ich-wissen/logik/quantenlogik/" TargetMode="External"/><Relationship Id="rId5" Type="http://schemas.openxmlformats.org/officeDocument/2006/relationships/hyperlink" Target="https://www.sapereaudepls.de/was-kann-ich-wissen/metaphysik/ontologie/" TargetMode="External"/><Relationship Id="rId15" Type="http://schemas.openxmlformats.org/officeDocument/2006/relationships/hyperlink" Target="https://www.sapereaudepls.de/einzeldisziplinen/teilchenphysik/photon/" TargetMode="External"/><Relationship Id="rId23" Type="http://schemas.openxmlformats.org/officeDocument/2006/relationships/hyperlink" Target="https://plato.stanford.edu/entries/qt-idind/" TargetMode="External"/><Relationship Id="rId10" Type="http://schemas.openxmlformats.org/officeDocument/2006/relationships/hyperlink" Target="https://www.sapereaudepls.de/was-kann-ich-wissen/metaphysik/identit%C3%A4t/" TargetMode="External"/><Relationship Id="rId19" Type="http://schemas.openxmlformats.org/officeDocument/2006/relationships/hyperlink" Target="https://www.sapereaudepls.de/einzeldisziplinen/quantenmechanik/interpretationen-der-quantenmecha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pereaudepls.de/was-kann-ich-wissen/metaphysik/m%C3%B6glichkeit/" TargetMode="External"/><Relationship Id="rId14" Type="http://schemas.openxmlformats.org/officeDocument/2006/relationships/hyperlink" Target="https://www.sapereaudepls.de/was-kann-ich-wissen/metaphysik/eigenschaft/" TargetMode="External"/><Relationship Id="rId22" Type="http://schemas.openxmlformats.org/officeDocument/2006/relationships/hyperlink" Target="https://de.wikipedia.org/wiki/Pauli-Prin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1</cp:revision>
  <dcterms:created xsi:type="dcterms:W3CDTF">2019-06-29T00:42:00Z</dcterms:created>
  <dcterms:modified xsi:type="dcterms:W3CDTF">2019-06-29T00:42:00Z</dcterms:modified>
</cp:coreProperties>
</file>